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571" w:type="dxa"/>
        <w:tblInd w:w="0" w:type="dxa"/>
        <w:tblLayout w:type="fixed"/>
        <w:tblCellMar>
          <w:top w:w="0" w:type="dxa"/>
          <w:left w:w="0" w:type="dxa"/>
          <w:bottom w:w="0" w:type="dxa"/>
          <w:right w:w="0" w:type="dxa"/>
        </w:tblCellMar>
      </w:tblPr>
      <w:tblGrid>
        <w:gridCol w:w="1304"/>
        <w:gridCol w:w="3609"/>
        <w:gridCol w:w="987"/>
        <w:gridCol w:w="1714"/>
        <w:gridCol w:w="1038"/>
        <w:gridCol w:w="3456"/>
        <w:gridCol w:w="1463"/>
      </w:tblGrid>
      <w:tr w14:paraId="11EE9805">
        <w:tblPrEx>
          <w:tblCellMar>
            <w:top w:w="0" w:type="dxa"/>
            <w:left w:w="0" w:type="dxa"/>
            <w:bottom w:w="0" w:type="dxa"/>
            <w:right w:w="0" w:type="dxa"/>
          </w:tblCellMar>
        </w:tblPrEx>
        <w:trPr>
          <w:trHeight w:val="363" w:hRule="atLeast"/>
        </w:trPr>
        <w:tc>
          <w:tcPr>
            <w:tcW w:w="13571" w:type="dxa"/>
            <w:gridSpan w:val="7"/>
            <w:tcBorders>
              <w:top w:val="nil"/>
              <w:left w:val="nil"/>
              <w:bottom w:val="nil"/>
              <w:right w:val="nil"/>
            </w:tcBorders>
            <w:tcMar>
              <w:top w:w="12" w:type="dxa"/>
              <w:left w:w="12" w:type="dxa"/>
              <w:right w:w="12" w:type="dxa"/>
            </w:tcMar>
            <w:vAlign w:val="center"/>
          </w:tcPr>
          <w:p w14:paraId="278ED716">
            <w:pPr>
              <w:widowControl/>
              <w:jc w:val="left"/>
              <w:textAlignment w:val="center"/>
              <w:rPr>
                <w:rFonts w:ascii="Times New Roman" w:hAnsi="Times New Roman" w:eastAsia="方正小标宋_GBK"/>
                <w:bCs/>
                <w:color w:val="000000"/>
                <w:kern w:val="0"/>
                <w:sz w:val="36"/>
                <w:szCs w:val="36"/>
                <w:highlight w:val="none"/>
              </w:rPr>
            </w:pPr>
            <w:r>
              <w:rPr>
                <w:rFonts w:ascii="Times New Roman" w:hAnsi="Times New Roman" w:eastAsia="方正黑体_GBK"/>
                <w:bCs/>
                <w:color w:val="000000"/>
                <w:kern w:val="0"/>
                <w:sz w:val="32"/>
                <w:szCs w:val="32"/>
                <w:highlight w:val="none"/>
              </w:rPr>
              <w:t>附件1</w:t>
            </w:r>
            <w:r>
              <w:rPr>
                <w:rFonts w:hint="eastAsia" w:ascii="Times New Roman" w:hAnsi="Times New Roman" w:eastAsia="方正黑体_GBK"/>
                <w:bCs/>
                <w:color w:val="000000"/>
                <w:kern w:val="0"/>
                <w:sz w:val="32"/>
                <w:szCs w:val="32"/>
                <w:highlight w:val="none"/>
              </w:rPr>
              <w:t>：</w:t>
            </w:r>
            <w:r>
              <w:rPr>
                <w:rFonts w:ascii="Times New Roman" w:hAnsi="Times New Roman" w:eastAsia="方正小标宋_GBK"/>
                <w:bCs/>
                <w:color w:val="000000"/>
                <w:kern w:val="0"/>
                <w:sz w:val="36"/>
                <w:szCs w:val="36"/>
                <w:highlight w:val="none"/>
              </w:rPr>
              <w:t xml:space="preserve">           </w:t>
            </w:r>
          </w:p>
          <w:p w14:paraId="475B33CA">
            <w:pPr>
              <w:widowControl/>
              <w:jc w:val="center"/>
              <w:textAlignment w:val="center"/>
              <w:rPr>
                <w:rFonts w:ascii="Times New Roman" w:hAnsi="Times New Roman"/>
                <w:b/>
                <w:color w:val="000000"/>
                <w:sz w:val="36"/>
                <w:szCs w:val="36"/>
                <w:highlight w:val="none"/>
              </w:rPr>
            </w:pPr>
            <w:r>
              <w:rPr>
                <w:rFonts w:hint="eastAsia" w:ascii="Times New Roman" w:hAnsi="Times New Roman" w:eastAsia="方正小标宋_GBK"/>
                <w:bCs/>
                <w:color w:val="000000"/>
                <w:kern w:val="0"/>
                <w:sz w:val="36"/>
                <w:szCs w:val="36"/>
                <w:highlight w:val="none"/>
              </w:rPr>
              <w:t>北辰区</w:t>
            </w:r>
            <w:r>
              <w:rPr>
                <w:rFonts w:ascii="Times New Roman" w:hAnsi="Times New Roman" w:eastAsia="方正小标宋_GBK"/>
                <w:bCs/>
                <w:color w:val="000000"/>
                <w:kern w:val="0"/>
                <w:sz w:val="36"/>
                <w:szCs w:val="36"/>
                <w:highlight w:val="none"/>
              </w:rPr>
              <w:t>消防救援支队专职消防员招录计划表</w:t>
            </w:r>
          </w:p>
        </w:tc>
      </w:tr>
      <w:tr w14:paraId="0E55F0B0">
        <w:tblPrEx>
          <w:tblCellMar>
            <w:top w:w="0" w:type="dxa"/>
            <w:left w:w="0" w:type="dxa"/>
            <w:bottom w:w="0" w:type="dxa"/>
            <w:right w:w="0" w:type="dxa"/>
          </w:tblCellMar>
        </w:tblPrEx>
        <w:trPr>
          <w:trHeight w:val="349" w:hRule="atLeast"/>
        </w:trPr>
        <w:tc>
          <w:tcPr>
            <w:tcW w:w="5900" w:type="dxa"/>
            <w:gridSpan w:val="3"/>
            <w:tcBorders>
              <w:top w:val="nil"/>
              <w:left w:val="nil"/>
              <w:bottom w:val="nil"/>
              <w:right w:val="nil"/>
            </w:tcBorders>
            <w:tcMar>
              <w:top w:w="12" w:type="dxa"/>
              <w:left w:w="12" w:type="dxa"/>
              <w:right w:w="12" w:type="dxa"/>
            </w:tcMar>
            <w:vAlign w:val="center"/>
          </w:tcPr>
          <w:p w14:paraId="4AEA525C">
            <w:pPr>
              <w:widowControl/>
              <w:jc w:val="left"/>
              <w:textAlignment w:val="center"/>
              <w:rPr>
                <w:rFonts w:ascii="Times New Roman" w:hAnsi="Times New Roman"/>
                <w:color w:val="000000"/>
                <w:highlight w:val="none"/>
              </w:rPr>
            </w:pPr>
            <w:r>
              <w:rPr>
                <w:rFonts w:ascii="Times New Roman" w:hAnsi="Times New Roman" w:eastAsia="方正楷体_GBK"/>
                <w:color w:val="000000"/>
                <w:kern w:val="0"/>
                <w:highlight w:val="none"/>
              </w:rPr>
              <w:t>单位：</w:t>
            </w:r>
            <w:r>
              <w:rPr>
                <w:rFonts w:hint="eastAsia" w:ascii="华文楷体" w:hAnsi="华文楷体" w:eastAsia="华文楷体" w:cs="华文楷体"/>
                <w:color w:val="000000"/>
                <w:kern w:val="0"/>
                <w:highlight w:val="none"/>
              </w:rPr>
              <w:t>北辰区消防救援支队</w:t>
            </w:r>
          </w:p>
        </w:tc>
        <w:tc>
          <w:tcPr>
            <w:tcW w:w="1714" w:type="dxa"/>
            <w:tcBorders>
              <w:top w:val="nil"/>
              <w:left w:val="nil"/>
              <w:bottom w:val="nil"/>
              <w:right w:val="nil"/>
            </w:tcBorders>
            <w:tcMar>
              <w:top w:w="12" w:type="dxa"/>
              <w:left w:w="12" w:type="dxa"/>
              <w:right w:w="12" w:type="dxa"/>
            </w:tcMar>
            <w:vAlign w:val="center"/>
          </w:tcPr>
          <w:p w14:paraId="5FB6AC77">
            <w:pPr>
              <w:jc w:val="center"/>
              <w:rPr>
                <w:rFonts w:ascii="Times New Roman" w:hAnsi="Times New Roman"/>
                <w:b/>
                <w:color w:val="000000"/>
                <w:highlight w:val="none"/>
              </w:rPr>
            </w:pPr>
          </w:p>
        </w:tc>
        <w:tc>
          <w:tcPr>
            <w:tcW w:w="1038" w:type="dxa"/>
            <w:tcBorders>
              <w:top w:val="nil"/>
              <w:left w:val="nil"/>
              <w:bottom w:val="nil"/>
              <w:right w:val="nil"/>
            </w:tcBorders>
            <w:tcMar>
              <w:top w:w="12" w:type="dxa"/>
              <w:left w:w="12" w:type="dxa"/>
              <w:right w:w="12" w:type="dxa"/>
            </w:tcMar>
            <w:vAlign w:val="center"/>
          </w:tcPr>
          <w:p w14:paraId="701C124F">
            <w:pPr>
              <w:jc w:val="center"/>
              <w:rPr>
                <w:rFonts w:ascii="Times New Roman" w:hAnsi="Times New Roman"/>
                <w:b/>
                <w:color w:val="000000"/>
                <w:highlight w:val="none"/>
              </w:rPr>
            </w:pPr>
          </w:p>
        </w:tc>
        <w:tc>
          <w:tcPr>
            <w:tcW w:w="3456" w:type="dxa"/>
            <w:tcBorders>
              <w:top w:val="nil"/>
              <w:left w:val="nil"/>
              <w:bottom w:val="nil"/>
              <w:right w:val="nil"/>
            </w:tcBorders>
            <w:tcMar>
              <w:top w:w="12" w:type="dxa"/>
              <w:left w:w="12" w:type="dxa"/>
              <w:right w:w="12" w:type="dxa"/>
            </w:tcMar>
            <w:vAlign w:val="center"/>
          </w:tcPr>
          <w:p w14:paraId="70D982CA">
            <w:pPr>
              <w:jc w:val="center"/>
              <w:rPr>
                <w:rFonts w:ascii="Times New Roman" w:hAnsi="Times New Roman"/>
                <w:b/>
                <w:color w:val="000000"/>
                <w:highlight w:val="none"/>
              </w:rPr>
            </w:pPr>
          </w:p>
        </w:tc>
        <w:tc>
          <w:tcPr>
            <w:tcW w:w="1463" w:type="dxa"/>
            <w:tcBorders>
              <w:top w:val="nil"/>
              <w:left w:val="nil"/>
              <w:bottom w:val="nil"/>
              <w:right w:val="nil"/>
            </w:tcBorders>
            <w:tcMar>
              <w:top w:w="12" w:type="dxa"/>
              <w:left w:w="12" w:type="dxa"/>
              <w:right w:w="12" w:type="dxa"/>
            </w:tcMar>
            <w:vAlign w:val="center"/>
          </w:tcPr>
          <w:p w14:paraId="6BBA74C1">
            <w:pPr>
              <w:jc w:val="center"/>
              <w:rPr>
                <w:rFonts w:ascii="Times New Roman" w:hAnsi="Times New Roman"/>
                <w:b/>
                <w:color w:val="000000"/>
                <w:highlight w:val="none"/>
              </w:rPr>
            </w:pPr>
          </w:p>
        </w:tc>
      </w:tr>
      <w:tr w14:paraId="662B713E">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58823F">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4E13B0">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E5620E">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招录条件</w:t>
            </w:r>
          </w:p>
        </w:tc>
        <w:tc>
          <w:tcPr>
            <w:tcW w:w="1463"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7BFA5A35">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咨询电话</w:t>
            </w:r>
          </w:p>
        </w:tc>
      </w:tr>
      <w:tr w14:paraId="2088FCF0">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6F34C9">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A5D10">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0DBF3F">
            <w:pPr>
              <w:jc w:val="center"/>
              <w:rPr>
                <w:rFonts w:ascii="Times New Roman" w:hAnsi="Times New Roman"/>
                <w:b/>
                <w:color w:val="000000"/>
                <w:highlight w:val="none"/>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3040BD">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CE38EC">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6E8C70">
            <w:pPr>
              <w:widowControl/>
              <w:jc w:val="center"/>
              <w:textAlignment w:val="center"/>
              <w:rPr>
                <w:rFonts w:ascii="Times New Roman" w:hAnsi="Times New Roman"/>
                <w:b/>
                <w:color w:val="000000"/>
                <w:highlight w:val="none"/>
              </w:rPr>
            </w:pPr>
            <w:r>
              <w:rPr>
                <w:rFonts w:ascii="Times New Roman" w:hAnsi="Times New Roman"/>
                <w:b/>
                <w:color w:val="000000"/>
                <w:kern w:val="0"/>
                <w:highlight w:val="none"/>
              </w:rPr>
              <w:t>其他</w:t>
            </w:r>
          </w:p>
        </w:tc>
        <w:tc>
          <w:tcPr>
            <w:tcW w:w="1463"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41481C97">
            <w:pPr>
              <w:jc w:val="center"/>
              <w:rPr>
                <w:rFonts w:ascii="Times New Roman" w:hAnsi="Times New Roman"/>
                <w:b/>
                <w:color w:val="000000"/>
                <w:highlight w:val="none"/>
              </w:rPr>
            </w:pPr>
          </w:p>
        </w:tc>
      </w:tr>
      <w:tr w14:paraId="417AC76F">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89C71">
            <w:pPr>
              <w:widowControl/>
              <w:jc w:val="center"/>
              <w:textAlignment w:val="center"/>
              <w:rPr>
                <w:rFonts w:ascii="Times New Roman" w:hAnsi="Times New Roman" w:eastAsia="方正仿宋_GBK"/>
                <w:color w:val="000000"/>
                <w:highlight w:val="none"/>
              </w:rPr>
            </w:pPr>
            <w:r>
              <w:rPr>
                <w:rFonts w:ascii="Times New Roman" w:hAnsi="Times New Roman" w:eastAsia="方正仿宋_GBK"/>
                <w:color w:val="000000"/>
                <w:kern w:val="0"/>
                <w:highlight w:val="none"/>
              </w:rPr>
              <w:t>灭火救援员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F5B9A">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（一）了解辖区交通道路、消防水源、重点单位等基本情况；</w:t>
            </w:r>
          </w:p>
          <w:p w14:paraId="232032BE">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（二）保持个人防护装备和分管装备完整好用，熟悉装备性能，熟练操作使用；</w:t>
            </w:r>
          </w:p>
          <w:p w14:paraId="61AACC1B">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（三）掌握辖区主要灾害事故处置的行动要求、安全注意事项，熟悉灭火救援预案中本岗位的主要任务；</w:t>
            </w:r>
          </w:p>
          <w:p w14:paraId="225ED219">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（四）掌握相关建筑消防设施的实战应用方法；</w:t>
            </w:r>
          </w:p>
          <w:p w14:paraId="11257BD4">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（五）积极参加教育、学习、训练活动，具备应有的火灾扑救和应急救援业务技能，入职培训后取得相应等级的消防员职业技能鉴定资格证书；</w:t>
            </w:r>
          </w:p>
          <w:p w14:paraId="657BC5FA">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9D8F0">
            <w:pPr>
              <w:widowControl/>
              <w:jc w:val="center"/>
              <w:textAlignment w:val="center"/>
              <w:rPr>
                <w:rFonts w:ascii="Times New Roman" w:hAnsi="Times New Roman" w:eastAsia="方正仿宋_GBK"/>
                <w:color w:val="000000"/>
                <w:highlight w:val="none"/>
              </w:rPr>
            </w:pPr>
            <w:r>
              <w:rPr>
                <w:rFonts w:hint="eastAsia" w:ascii="Times New Roman" w:hAnsi="Times New Roman" w:eastAsia="方正仿宋_GBK"/>
                <w:color w:val="000000"/>
                <w:highlight w:val="none"/>
              </w:rPr>
              <w:t>25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5E93D8">
            <w:pPr>
              <w:widowControl/>
              <w:jc w:val="center"/>
              <w:textAlignment w:val="center"/>
              <w:rPr>
                <w:rFonts w:ascii="Times New Roman" w:hAnsi="Times New Roman" w:eastAsia="方正仿宋_GBK"/>
                <w:color w:val="000000"/>
                <w:highlight w:val="none"/>
              </w:rPr>
            </w:pPr>
            <w:r>
              <w:rPr>
                <w:rFonts w:ascii="Times New Roman" w:hAnsi="Times New Roman" w:eastAsia="方正仿宋_GBK"/>
                <w:color w:val="000000"/>
                <w:kern w:val="0"/>
                <w:highlight w:val="none"/>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24A8567">
            <w:pPr>
              <w:widowControl/>
              <w:jc w:val="center"/>
              <w:textAlignment w:val="center"/>
              <w:rPr>
                <w:rFonts w:ascii="Times New Roman" w:hAnsi="Times New Roman" w:eastAsia="方正仿宋_GBK"/>
                <w:color w:val="000000"/>
                <w:highlight w:val="none"/>
              </w:rPr>
            </w:pPr>
            <w:r>
              <w:rPr>
                <w:rFonts w:ascii="Times New Roman" w:hAnsi="Times New Roman" w:eastAsia="方正仿宋_GBK"/>
                <w:color w:val="000000"/>
                <w:kern w:val="0"/>
                <w:highlight w:val="none"/>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9B1CFF">
            <w:pPr>
              <w:widowControl/>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建议男性，年龄为18至</w:t>
            </w:r>
            <w:r>
              <w:rPr>
                <w:rFonts w:hint="eastAsia" w:ascii="Times New Roman" w:hAnsi="Times New Roman" w:eastAsia="方正仿宋_GBK"/>
                <w:color w:val="000000"/>
                <w:highlight w:val="none"/>
              </w:rPr>
              <w:t>28</w:t>
            </w:r>
            <w:r>
              <w:rPr>
                <w:rFonts w:hint="eastAsia" w:ascii="Times New Roman" w:hAnsi="Times New Roman" w:eastAsia="方正仿宋_GBK"/>
                <w:color w:val="000000"/>
                <w:highlight w:val="none"/>
                <w:lang w:val="en-US" w:eastAsia="zh-CN"/>
              </w:rPr>
              <w:t>周</w:t>
            </w:r>
            <w:r>
              <w:rPr>
                <w:rFonts w:ascii="Times New Roman" w:hAnsi="Times New Roman" w:eastAsia="方正仿宋_GBK"/>
                <w:color w:val="000000"/>
                <w:highlight w:val="none"/>
              </w:rPr>
              <w:t>岁之间（199</w:t>
            </w:r>
            <w:r>
              <w:rPr>
                <w:rFonts w:hint="eastAsia" w:ascii="Times New Roman" w:hAnsi="Times New Roman" w:eastAsia="方正仿宋_GBK"/>
                <w:color w:val="000000"/>
                <w:highlight w:val="none"/>
              </w:rPr>
              <w:t>7</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月1</w:t>
            </w:r>
            <w:r>
              <w:rPr>
                <w:rFonts w:hint="eastAsia" w:ascii="Times New Roman" w:hAnsi="Times New Roman" w:eastAsia="方正仿宋_GBK"/>
                <w:color w:val="000000"/>
                <w:highlight w:val="none"/>
              </w:rPr>
              <w:t>0</w:t>
            </w:r>
            <w:r>
              <w:rPr>
                <w:rFonts w:ascii="Times New Roman" w:hAnsi="Times New Roman" w:eastAsia="方正仿宋_GBK"/>
                <w:color w:val="000000"/>
                <w:highlight w:val="none"/>
              </w:rPr>
              <w:t>日至200</w:t>
            </w:r>
            <w:r>
              <w:rPr>
                <w:rFonts w:hint="eastAsia" w:ascii="Times New Roman" w:hAnsi="Times New Roman" w:eastAsia="方正仿宋_GBK"/>
                <w:color w:val="000000"/>
                <w:highlight w:val="none"/>
              </w:rPr>
              <w:t>7</w:t>
            </w:r>
            <w:r>
              <w:rPr>
                <w:rFonts w:ascii="Times New Roman" w:hAnsi="Times New Roman" w:eastAsia="方正仿宋_GBK"/>
                <w:color w:val="000000"/>
                <w:highlight w:val="none"/>
              </w:rPr>
              <w:t>年</w:t>
            </w:r>
            <w:r>
              <w:rPr>
                <w:rFonts w:hint="eastAsia" w:ascii="Times New Roman" w:hAnsi="Times New Roman" w:eastAsia="方正仿宋_GBK"/>
                <w:color w:val="000000"/>
                <w:highlight w:val="none"/>
              </w:rPr>
              <w:t>11</w:t>
            </w:r>
            <w:r>
              <w:rPr>
                <w:rFonts w:ascii="Times New Roman" w:hAnsi="Times New Roman" w:eastAsia="方正仿宋_GBK"/>
                <w:color w:val="000000"/>
                <w:highlight w:val="none"/>
              </w:rPr>
              <w:t>月</w:t>
            </w:r>
            <w:r>
              <w:rPr>
                <w:rFonts w:hint="eastAsia" w:ascii="Times New Roman" w:hAnsi="Times New Roman" w:eastAsia="方正仿宋_GBK"/>
                <w:color w:val="000000"/>
                <w:highlight w:val="none"/>
              </w:rPr>
              <w:t>10</w:t>
            </w:r>
            <w:r>
              <w:rPr>
                <w:rFonts w:ascii="Times New Roman" w:hAnsi="Times New Roman" w:eastAsia="方正仿宋_GBK"/>
                <w:color w:val="000000"/>
                <w:highlight w:val="none"/>
              </w:rPr>
              <w:t>日之间出生）</w:t>
            </w:r>
            <w:r>
              <w:rPr>
                <w:rFonts w:hint="eastAsia" w:ascii="Times New Roman" w:hAnsi="Times New Roman" w:eastAsia="方正仿宋_GBK"/>
                <w:color w:val="000000"/>
                <w:highlight w:val="none"/>
              </w:rPr>
              <w:t>，</w:t>
            </w:r>
            <w:r>
              <w:rPr>
                <w:rFonts w:ascii="Times New Roman" w:hAnsi="Times New Roman" w:eastAsia="方正仿宋_GBK"/>
                <w:color w:val="000000"/>
                <w:highlight w:val="none"/>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3A630C">
            <w:pPr>
              <w:jc w:val="center"/>
              <w:rPr>
                <w:rFonts w:ascii="Times New Roman" w:hAnsi="Times New Roman"/>
                <w:color w:val="000000"/>
                <w:highlight w:val="none"/>
              </w:rPr>
            </w:pPr>
            <w:r>
              <w:rPr>
                <w:rFonts w:hint="eastAsia" w:ascii="Times New Roman" w:hAnsi="Times New Roman"/>
                <w:color w:val="000000"/>
                <w:highlight w:val="none"/>
              </w:rPr>
              <w:t>022-26309119</w:t>
            </w:r>
          </w:p>
        </w:tc>
      </w:tr>
      <w:tr w14:paraId="284D9755">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BD2771">
            <w:pPr>
              <w:widowControl/>
              <w:jc w:val="center"/>
              <w:textAlignment w:val="center"/>
              <w:rPr>
                <w:rFonts w:ascii="Times New Roman" w:hAnsi="Times New Roman" w:eastAsia="方正仿宋_GBK"/>
                <w:color w:val="000000"/>
                <w:kern w:val="0"/>
                <w:highlight w:val="none"/>
              </w:rPr>
            </w:pPr>
            <w:r>
              <w:rPr>
                <w:rFonts w:ascii="Times New Roman" w:hAnsi="Times New Roman" w:eastAsia="方正仿宋_GBK"/>
                <w:color w:val="000000"/>
                <w:kern w:val="0"/>
                <w:highlight w:val="none"/>
              </w:rPr>
              <w:t>消防车驾驶员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368E4">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（一）熟练掌握驾驶技术，掌握所驾车辆构造及车载固定装备的技术性能和安全操作方法，能排除一般故障；</w:t>
            </w:r>
          </w:p>
          <w:p w14:paraId="6B7D42F0">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（二）负责车辆和车载固定灭火救援设备的维护保养，每天早、晚和交接班时对车辆性能进行检查，及时补充车辆的油、水、电、气、灭火剂，保持车况处于良好战备状态；</w:t>
            </w:r>
          </w:p>
          <w:p w14:paraId="08227D9B">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（三）严格遵守《中华人民共和国道路交通安全法》和单位车辆管理规定，严格执行车辆安全操作规程，养成良好的驾驶习惯，文明驾驶、规范行车，确保行车安全；</w:t>
            </w:r>
          </w:p>
          <w:p w14:paraId="0034F98C">
            <w:pPr>
              <w:widowControl/>
              <w:jc w:val="left"/>
              <w:textAlignment w:val="center"/>
              <w:rPr>
                <w:rFonts w:ascii="Times New Roman" w:hAnsi="Times New Roman" w:eastAsia="方正仿宋_GBK"/>
                <w:color w:val="000000"/>
                <w:highlight w:val="none"/>
              </w:rPr>
            </w:pPr>
            <w:r>
              <w:rPr>
                <w:rFonts w:ascii="Times New Roman" w:hAnsi="Times New Roman" w:eastAsia="方正仿宋_GBK"/>
                <w:color w:val="000000"/>
                <w:highlight w:val="none"/>
              </w:rPr>
              <w:t>（四）熟悉辖区及周边交通道路、消防水源、防消联勤联动单位和消防重点单位等有关情况。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F1748">
            <w:pPr>
              <w:widowControl/>
              <w:jc w:val="center"/>
              <w:textAlignment w:val="center"/>
              <w:rPr>
                <w:rFonts w:ascii="Times New Roman" w:hAnsi="Times New Roman" w:eastAsia="方正仿宋_GBK"/>
                <w:color w:val="000000"/>
                <w:kern w:val="0"/>
                <w:highlight w:val="none"/>
              </w:rPr>
            </w:pPr>
            <w:r>
              <w:rPr>
                <w:rFonts w:hint="eastAsia" w:ascii="Times New Roman" w:hAnsi="Times New Roman" w:eastAsia="方正仿宋_GBK"/>
                <w:color w:val="000000"/>
                <w:kern w:val="0"/>
                <w:highlight w:val="none"/>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78F8873">
            <w:pPr>
              <w:widowControl/>
              <w:jc w:val="center"/>
              <w:textAlignment w:val="center"/>
              <w:rPr>
                <w:rFonts w:ascii="Times New Roman" w:hAnsi="Times New Roman" w:eastAsia="方正仿宋_GBK"/>
                <w:color w:val="000000"/>
                <w:kern w:val="0"/>
                <w:highlight w:val="none"/>
              </w:rPr>
            </w:pPr>
            <w:r>
              <w:rPr>
                <w:rFonts w:ascii="Times New Roman" w:hAnsi="Times New Roman" w:eastAsia="方正仿宋_GBK"/>
                <w:color w:val="000000"/>
                <w:kern w:val="0"/>
                <w:highlight w:val="none"/>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8A74460">
            <w:pPr>
              <w:widowControl/>
              <w:jc w:val="center"/>
              <w:textAlignment w:val="center"/>
              <w:rPr>
                <w:rFonts w:ascii="Times New Roman" w:hAnsi="Times New Roman" w:eastAsia="方正仿宋_GBK"/>
                <w:color w:val="000000"/>
                <w:kern w:val="0"/>
                <w:highlight w:val="none"/>
              </w:rPr>
            </w:pPr>
            <w:r>
              <w:rPr>
                <w:rFonts w:ascii="Times New Roman" w:hAnsi="Times New Roman" w:eastAsia="方正仿宋_GBK"/>
                <w:color w:val="000000"/>
                <w:kern w:val="0"/>
                <w:highlight w:val="none"/>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0EAD38">
            <w:pPr>
              <w:widowControl/>
              <w:textAlignment w:val="center"/>
              <w:rPr>
                <w:rFonts w:ascii="Times New Roman" w:hAnsi="Times New Roman" w:eastAsia="方正仿宋_GBK"/>
                <w:color w:val="000000"/>
                <w:highlight w:val="none"/>
              </w:rPr>
            </w:pPr>
            <w:r>
              <w:rPr>
                <w:rFonts w:ascii="Times New Roman" w:hAnsi="Times New Roman" w:eastAsia="方正仿宋_GBK"/>
                <w:color w:val="000000"/>
                <w:kern w:val="0"/>
                <w:highlight w:val="none"/>
              </w:rPr>
              <w:t>建议男性，18至3</w:t>
            </w:r>
            <w:r>
              <w:rPr>
                <w:rFonts w:hint="eastAsia" w:ascii="Times New Roman" w:hAnsi="Times New Roman" w:eastAsia="方正仿宋_GBK"/>
                <w:color w:val="000000"/>
                <w:kern w:val="0"/>
                <w:highlight w:val="none"/>
              </w:rPr>
              <w:t>0</w:t>
            </w:r>
            <w:r>
              <w:rPr>
                <w:rFonts w:ascii="Times New Roman" w:hAnsi="Times New Roman" w:eastAsia="方正仿宋_GBK"/>
                <w:color w:val="000000"/>
                <w:kern w:val="0"/>
                <w:highlight w:val="none"/>
              </w:rPr>
              <w:t>周岁之间（19</w:t>
            </w:r>
            <w:r>
              <w:rPr>
                <w:rFonts w:hint="eastAsia" w:ascii="Times New Roman" w:hAnsi="Times New Roman" w:eastAsia="方正仿宋_GBK"/>
                <w:color w:val="000000"/>
                <w:kern w:val="0"/>
                <w:highlight w:val="none"/>
              </w:rPr>
              <w:t>95</w:t>
            </w:r>
            <w:r>
              <w:rPr>
                <w:rFonts w:ascii="Times New Roman" w:hAnsi="Times New Roman" w:eastAsia="方正仿宋_GBK"/>
                <w:color w:val="000000"/>
                <w:kern w:val="0"/>
                <w:highlight w:val="none"/>
              </w:rPr>
              <w:t>年</w:t>
            </w:r>
            <w:r>
              <w:rPr>
                <w:rFonts w:hint="eastAsia" w:ascii="Times New Roman" w:hAnsi="Times New Roman" w:eastAsia="方正仿宋_GBK"/>
                <w:color w:val="000000"/>
                <w:kern w:val="0"/>
                <w:highlight w:val="none"/>
              </w:rPr>
              <w:t>11</w:t>
            </w:r>
            <w:r>
              <w:rPr>
                <w:rFonts w:ascii="Times New Roman" w:hAnsi="Times New Roman" w:eastAsia="方正仿宋_GBK"/>
                <w:kern w:val="0"/>
                <w:highlight w:val="none"/>
              </w:rPr>
              <w:t>月1</w:t>
            </w:r>
            <w:r>
              <w:rPr>
                <w:rFonts w:hint="eastAsia" w:ascii="Times New Roman" w:hAnsi="Times New Roman" w:eastAsia="方正仿宋_GBK"/>
                <w:kern w:val="0"/>
                <w:highlight w:val="none"/>
              </w:rPr>
              <w:t>0</w:t>
            </w:r>
            <w:r>
              <w:rPr>
                <w:rFonts w:ascii="Times New Roman" w:hAnsi="Times New Roman" w:eastAsia="方正仿宋_GBK"/>
                <w:kern w:val="0"/>
                <w:highlight w:val="none"/>
              </w:rPr>
              <w:t>日至2007年</w:t>
            </w:r>
            <w:r>
              <w:rPr>
                <w:rFonts w:hint="eastAsia" w:ascii="Times New Roman" w:hAnsi="Times New Roman" w:eastAsia="方正仿宋_GBK"/>
                <w:kern w:val="0"/>
                <w:highlight w:val="none"/>
              </w:rPr>
              <w:t>11</w:t>
            </w:r>
            <w:r>
              <w:rPr>
                <w:rFonts w:ascii="Times New Roman" w:hAnsi="Times New Roman" w:eastAsia="方正仿宋_GBK"/>
                <w:kern w:val="0"/>
                <w:highlight w:val="none"/>
              </w:rPr>
              <w:t>月1</w:t>
            </w:r>
            <w:r>
              <w:rPr>
                <w:rFonts w:hint="eastAsia" w:ascii="Times New Roman" w:hAnsi="Times New Roman" w:eastAsia="方正仿宋_GBK"/>
                <w:kern w:val="0"/>
                <w:highlight w:val="none"/>
              </w:rPr>
              <w:t>0</w:t>
            </w:r>
            <w:r>
              <w:rPr>
                <w:rFonts w:ascii="Times New Roman" w:hAnsi="Times New Roman" w:eastAsia="方正仿宋_GBK"/>
                <w:kern w:val="0"/>
                <w:highlight w:val="none"/>
              </w:rPr>
              <w:t>日之间出生），持有B</w:t>
            </w:r>
            <w:r>
              <w:rPr>
                <w:rFonts w:hint="eastAsia" w:ascii="Times New Roman" w:hAnsi="Times New Roman" w:eastAsia="方正仿宋_GBK"/>
                <w:kern w:val="0"/>
                <w:highlight w:val="none"/>
              </w:rPr>
              <w:t>1、</w:t>
            </w:r>
            <w:r>
              <w:rPr>
                <w:rFonts w:ascii="Times New Roman" w:hAnsi="Times New Roman" w:eastAsia="方正仿宋_GBK"/>
                <w:kern w:val="0"/>
                <w:highlight w:val="none"/>
              </w:rPr>
              <w:t>B</w:t>
            </w:r>
            <w:r>
              <w:rPr>
                <w:rFonts w:hint="eastAsia" w:ascii="Times New Roman" w:hAnsi="Times New Roman" w:eastAsia="方正仿宋_GBK"/>
                <w:kern w:val="0"/>
                <w:highlight w:val="none"/>
              </w:rPr>
              <w:t>2、A1、A2</w:t>
            </w:r>
            <w:r>
              <w:rPr>
                <w:rFonts w:ascii="Times New Roman" w:hAnsi="Times New Roman" w:eastAsia="方正仿宋_GBK"/>
                <w:kern w:val="0"/>
                <w:highlight w:val="none"/>
              </w:rPr>
              <w:t>驾驶证，同等条件或分数下，从事过消防车驾驶工作者优先、退役军</w:t>
            </w:r>
            <w:r>
              <w:rPr>
                <w:rFonts w:ascii="Times New Roman" w:hAnsi="Times New Roman" w:eastAsia="方正仿宋_GBK"/>
                <w:color w:val="000000"/>
                <w:kern w:val="0"/>
                <w:highlight w:val="none"/>
              </w:rPr>
              <w:t>人和退出消防员优先录用。</w:t>
            </w:r>
          </w:p>
        </w:tc>
        <w:tc>
          <w:tcPr>
            <w:tcW w:w="146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BEA6D0">
            <w:pPr>
              <w:jc w:val="center"/>
              <w:rPr>
                <w:rFonts w:ascii="Times New Roman" w:hAnsi="Times New Roman" w:eastAsia="方正仿宋_GBK"/>
                <w:color w:val="000000"/>
                <w:sz w:val="18"/>
                <w:szCs w:val="18"/>
                <w:highlight w:val="none"/>
              </w:rPr>
            </w:pPr>
            <w:r>
              <w:rPr>
                <w:rFonts w:hint="eastAsia" w:ascii="Times New Roman" w:hAnsi="Times New Roman"/>
                <w:color w:val="000000"/>
                <w:highlight w:val="none"/>
              </w:rPr>
              <w:t>022-26309119</w:t>
            </w:r>
          </w:p>
        </w:tc>
      </w:tr>
    </w:tbl>
    <w:p w14:paraId="034EF3EA">
      <w:pPr>
        <w:pStyle w:val="7"/>
        <w:ind w:firstLine="640"/>
        <w:rPr>
          <w:rFonts w:ascii="Times New Roman" w:hAnsi="Times New Roman" w:eastAsia="方正仿宋_GBK" w:cs="Times New Roman"/>
          <w:sz w:val="32"/>
          <w:szCs w:val="32"/>
          <w:highlight w:val="none"/>
        </w:rPr>
      </w:pPr>
    </w:p>
    <w:p w14:paraId="50356B84">
      <w:pPr>
        <w:pStyle w:val="7"/>
        <w:ind w:firstLine="640"/>
        <w:rPr>
          <w:rFonts w:ascii="Times New Roman" w:hAnsi="Times New Roman" w:eastAsia="方正仿宋_GBK" w:cs="Times New Roman"/>
          <w:sz w:val="32"/>
          <w:szCs w:val="32"/>
          <w:highlight w:val="none"/>
        </w:rPr>
      </w:pPr>
    </w:p>
    <w:p w14:paraId="41C2FCA9">
      <w:pPr>
        <w:pStyle w:val="7"/>
        <w:ind w:firstLine="640"/>
        <w:rPr>
          <w:rFonts w:ascii="Times New Roman" w:hAnsi="Times New Roman" w:eastAsia="方正仿宋_GBK" w:cs="Times New Roman"/>
          <w:sz w:val="32"/>
          <w:szCs w:val="32"/>
          <w:highlight w:val="none"/>
        </w:rPr>
      </w:pPr>
      <w:bookmarkStart w:id="0" w:name="_GoBack"/>
      <w:bookmarkEnd w:id="0"/>
    </w:p>
    <w:p w14:paraId="045F3527"/>
    <w:sectPr>
      <w:footerReference r:id="rId3" w:type="default"/>
      <w:pgSz w:w="16838" w:h="11906" w:orient="landscape"/>
      <w:pgMar w:top="1587" w:right="2098" w:bottom="1474" w:left="1984" w:header="851" w:footer="992"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DB9CB77-A05E-446C-B335-1406BFD132BC}"/>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2104336F-F2B6-4FEC-836B-1BE29C479F0A}"/>
  </w:font>
  <w:font w:name="方正黑体_GBK">
    <w:altName w:val="微软雅黑"/>
    <w:panose1 w:val="03000509000000000000"/>
    <w:charset w:val="86"/>
    <w:family w:val="auto"/>
    <w:pitch w:val="default"/>
    <w:sig w:usb0="00000000" w:usb1="00000000" w:usb2="00000000" w:usb3="00000000" w:csb0="00040000" w:csb1="00000000"/>
    <w:embedRegular r:id="rId3" w:fontKey="{BE977F08-FB9C-40D3-9102-D3EA869693A6}"/>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embedRegular r:id="rId4" w:fontKey="{E8BF021C-3CC3-4AAB-85CA-1B879EFA6FFB}"/>
  </w:font>
  <w:font w:name="华文楷体">
    <w:panose1 w:val="02010600040101010101"/>
    <w:charset w:val="86"/>
    <w:family w:val="auto"/>
    <w:pitch w:val="default"/>
    <w:sig w:usb0="00000287" w:usb1="080F0000" w:usb2="00000000" w:usb3="00000000" w:csb0="0004009F" w:csb1="DFD70000"/>
    <w:embedRegular r:id="rId5" w:fontKey="{2101E9DC-F049-449F-BECC-913A57511AA3}"/>
  </w:font>
  <w:font w:name="方正仿宋_GBK">
    <w:panose1 w:val="02000000000000000000"/>
    <w:charset w:val="86"/>
    <w:family w:val="script"/>
    <w:pitch w:val="default"/>
    <w:sig w:usb0="A00002BF" w:usb1="38CF7CFA" w:usb2="00082016" w:usb3="00000000" w:csb0="00040001" w:csb1="00000000"/>
    <w:embedRegular r:id="rId6" w:fontKey="{44768A8A-6E9C-4F2B-AC23-9BCA17E56C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38142"/>
    </w:sdtPr>
    <w:sdtContent>
      <w:p w14:paraId="07AB3CFE">
        <w:pPr>
          <w:pStyle w:val="2"/>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13 -</w:t>
        </w:r>
        <w:r>
          <w:rPr>
            <w:rFonts w:ascii="宋体" w:hAnsi="宋体" w:eastAsia="宋体"/>
            <w:sz w:val="28"/>
            <w:szCs w:val="28"/>
          </w:rPr>
          <w:fldChar w:fldCharType="end"/>
        </w:r>
      </w:p>
    </w:sdtContent>
  </w:sdt>
  <w:p w14:paraId="2F7F980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E209E"/>
    <w:rsid w:val="10D36097"/>
    <w:rsid w:val="1C8C318D"/>
    <w:rsid w:val="20670E5A"/>
    <w:rsid w:val="2CB313B9"/>
    <w:rsid w:val="2CD67714"/>
    <w:rsid w:val="3BD93147"/>
    <w:rsid w:val="3BEE209E"/>
    <w:rsid w:val="3D5347E8"/>
    <w:rsid w:val="5AD66EFF"/>
    <w:rsid w:val="61402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6">
    <w:name w:val="Strong"/>
    <w:basedOn w:val="5"/>
    <w:qFormat/>
    <w:uiPriority w:val="99"/>
    <w:rPr>
      <w:rFonts w:cs="Times New Roman"/>
      <w:b/>
      <w:bCs/>
    </w:rPr>
  </w:style>
  <w:style w:type="paragraph" w:customStyle="1" w:styleId="7">
    <w:name w:val="BodyText1I2"/>
    <w:basedOn w:val="8"/>
    <w:qFormat/>
    <w:uiPriority w:val="0"/>
    <w:pPr>
      <w:ind w:firstLine="420" w:firstLineChars="200"/>
    </w:pPr>
  </w:style>
  <w:style w:type="paragraph" w:customStyle="1" w:styleId="8">
    <w:name w:val="BodyTextIndent"/>
    <w:basedOn w:val="1"/>
    <w:next w:val="9"/>
    <w:qFormat/>
    <w:uiPriority w:val="0"/>
    <w:pPr>
      <w:spacing w:after="120"/>
      <w:ind w:left="420" w:leftChars="200"/>
      <w:textAlignment w:val="baseline"/>
    </w:pPr>
  </w:style>
  <w:style w:type="paragraph" w:customStyle="1" w:styleId="9">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851</Characters>
  <Lines>0</Lines>
  <Paragraphs>0</Paragraphs>
  <TotalTime>0</TotalTime>
  <ScaleCrop>false</ScaleCrop>
  <LinksUpToDate>false</LinksUpToDate>
  <CharactersWithSpaces>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Testarosse</dc:creator>
  <cp:lastModifiedBy>Testarosse</cp:lastModifiedBy>
  <dcterms:modified xsi:type="dcterms:W3CDTF">2025-11-12T08:52:54Z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6B6FFF2DE8B244A5B212FF8CAF2F06AD_11</vt:lpwstr>
  </property>
  <property fmtid="{D5CDD505-2E9C-101B-9397-08002B2CF9AE}" pid="4" name="KSOTemplateDocerSaveRecord">
    <vt:lpwstr>eyJoZGlkIjoiYWEwOTFiYjQzMzhhY2MwYmMwYmM2YTY5NjkxODYzMmEiLCJ1c2VySWQiOiI2NTc5MTU3OTIifQ==</vt:lpwstr>
  </property>
</Properties>
</file>